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B3" w:rsidRDefault="004D0B12" w:rsidP="007977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2024-2025</w:t>
      </w:r>
      <w:r w:rsidR="00DF11FD" w:rsidRPr="00AF061C">
        <w:rPr>
          <w:b/>
          <w:bCs/>
          <w:sz w:val="28"/>
          <w:szCs w:val="28"/>
        </w:rPr>
        <w:t xml:space="preserve"> EĞİTİM ÖĞRETİM YILI </w:t>
      </w:r>
      <w:r w:rsidR="007977B3">
        <w:rPr>
          <w:b/>
          <w:bCs/>
          <w:sz w:val="28"/>
          <w:szCs w:val="28"/>
        </w:rPr>
        <w:t>POLATLI İMAM HATİP ORTAOKULU</w:t>
      </w:r>
    </w:p>
    <w:p w:rsidR="00DF11FD" w:rsidRPr="007977B3" w:rsidRDefault="00396B67" w:rsidP="007977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666F5">
        <w:rPr>
          <w:b/>
          <w:bCs/>
          <w:sz w:val="28"/>
          <w:szCs w:val="28"/>
        </w:rPr>
        <w:t>.SINIFLAR 2</w:t>
      </w:r>
      <w:r w:rsidR="007977B3">
        <w:rPr>
          <w:b/>
          <w:bCs/>
          <w:sz w:val="28"/>
          <w:szCs w:val="28"/>
        </w:rPr>
        <w:t>.DÖNEM TÜRKÇE</w:t>
      </w:r>
      <w:r w:rsidR="00E96491">
        <w:rPr>
          <w:b/>
          <w:bCs/>
          <w:sz w:val="28"/>
          <w:szCs w:val="28"/>
        </w:rPr>
        <w:t xml:space="preserve"> 2</w:t>
      </w:r>
      <w:r w:rsidR="00673BDB">
        <w:rPr>
          <w:b/>
          <w:bCs/>
          <w:sz w:val="28"/>
          <w:szCs w:val="28"/>
        </w:rPr>
        <w:t>.</w:t>
      </w:r>
      <w:bookmarkStart w:id="0" w:name="_GoBack"/>
      <w:bookmarkEnd w:id="0"/>
      <w:r w:rsidR="007977B3">
        <w:rPr>
          <w:b/>
          <w:bCs/>
          <w:sz w:val="28"/>
          <w:szCs w:val="28"/>
        </w:rPr>
        <w:t xml:space="preserve"> ORTAK SINAVI </w:t>
      </w:r>
      <w:r w:rsidR="00DF11FD" w:rsidRPr="00AF061C">
        <w:rPr>
          <w:b/>
          <w:bCs/>
          <w:sz w:val="28"/>
          <w:szCs w:val="28"/>
        </w:rPr>
        <w:t>KONU DAĞILIM TABLOSU</w:t>
      </w:r>
    </w:p>
    <w:tbl>
      <w:tblPr>
        <w:tblStyle w:val="TabloKlavuzu"/>
        <w:tblW w:w="0" w:type="auto"/>
        <w:tblLook w:val="04A0"/>
      </w:tblPr>
      <w:tblGrid>
        <w:gridCol w:w="4531"/>
        <w:gridCol w:w="4531"/>
      </w:tblGrid>
      <w:tr w:rsidR="00DF11FD" w:rsidTr="00DF11FD">
        <w:tc>
          <w:tcPr>
            <w:tcW w:w="4531" w:type="dxa"/>
          </w:tcPr>
          <w:p w:rsidR="00DF11FD" w:rsidRPr="00F33AFE" w:rsidRDefault="00DF11FD">
            <w:pPr>
              <w:rPr>
                <w:b/>
                <w:bCs/>
                <w:sz w:val="32"/>
                <w:szCs w:val="32"/>
              </w:rPr>
            </w:pPr>
            <w:r w:rsidRPr="00F33AFE">
              <w:rPr>
                <w:b/>
                <w:bCs/>
                <w:sz w:val="32"/>
                <w:szCs w:val="32"/>
              </w:rPr>
              <w:t>Sınavda Çıkacak Kazanımlar</w:t>
            </w:r>
          </w:p>
        </w:tc>
        <w:tc>
          <w:tcPr>
            <w:tcW w:w="4531" w:type="dxa"/>
          </w:tcPr>
          <w:p w:rsidR="00DF11FD" w:rsidRPr="00F33AFE" w:rsidRDefault="00DF11FD">
            <w:pPr>
              <w:rPr>
                <w:b/>
                <w:bCs/>
                <w:sz w:val="32"/>
                <w:szCs w:val="32"/>
              </w:rPr>
            </w:pPr>
            <w:r w:rsidRPr="00F33AFE">
              <w:rPr>
                <w:b/>
                <w:bCs/>
                <w:sz w:val="32"/>
                <w:szCs w:val="32"/>
              </w:rPr>
              <w:t xml:space="preserve">               Soru Sayısı</w:t>
            </w:r>
          </w:p>
        </w:tc>
      </w:tr>
      <w:tr w:rsidR="00DF11FD" w:rsidRPr="007977B3" w:rsidTr="00DF11FD">
        <w:tc>
          <w:tcPr>
            <w:tcW w:w="4531" w:type="dxa"/>
          </w:tcPr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T.8.3.5. Bağlamdan yararlanarak bilmediği kelime ve kelime gruplarının anlamını tahmin eder.  a) Öğrencilerin tahmin ettikleri kelime ve kelime gruplarını öğrenmek için sözlük, atasözleri ve deyimler sözlüğü vb. araçları kullanmaları sağlanır.</w:t>
            </w:r>
          </w:p>
          <w:p w:rsidR="00DF11FD" w:rsidRPr="007977B3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 xml:space="preserve">b) Öğrencinin öğrendiği kelime ve kelime gruplarından sözlük oluşturması teşvik edilir.       </w:t>
            </w:r>
          </w:p>
        </w:tc>
        <w:tc>
          <w:tcPr>
            <w:tcW w:w="4531" w:type="dxa"/>
          </w:tcPr>
          <w:p w:rsidR="00DF11FD" w:rsidRPr="007977B3" w:rsidRDefault="00673BDB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F11FD" w:rsidRPr="007977B3" w:rsidTr="000666F5">
        <w:trPr>
          <w:trHeight w:val="444"/>
        </w:trPr>
        <w:tc>
          <w:tcPr>
            <w:tcW w:w="4531" w:type="dxa"/>
          </w:tcPr>
          <w:p w:rsidR="00DF11FD" w:rsidRPr="007977B3" w:rsidRDefault="004D0B12" w:rsidP="00673BDB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 xml:space="preserve">T.8.3.14. Metinle ilgili soruları cevaplar. Metin içi ve metin dışı anlam ilişkisi kurulur.  </w:t>
            </w:r>
          </w:p>
        </w:tc>
        <w:tc>
          <w:tcPr>
            <w:tcW w:w="4531" w:type="dxa"/>
          </w:tcPr>
          <w:p w:rsidR="00DF11FD" w:rsidRPr="007977B3" w:rsidRDefault="004D0B12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F11FD" w:rsidRPr="007977B3" w:rsidTr="009D60E3">
        <w:trPr>
          <w:trHeight w:val="423"/>
        </w:trPr>
        <w:tc>
          <w:tcPr>
            <w:tcW w:w="4531" w:type="dxa"/>
          </w:tcPr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T.8.3.20.Okuduğu metinlerdeki hikâye unsurlarını belirler.</w:t>
            </w:r>
          </w:p>
          <w:p w:rsidR="00DF11FD" w:rsidRPr="007977B3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Olay örgüsü, mekân, zaman, şahıs ve varlık kadrosu, anlatıcı üzerinde durulur.</w:t>
            </w: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DF11FD" w:rsidRPr="007977B3" w:rsidTr="00DF11FD">
        <w:tc>
          <w:tcPr>
            <w:tcW w:w="4531" w:type="dxa"/>
          </w:tcPr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T.8.3.21. Metnin içeriğini yorumlar.</w:t>
            </w:r>
          </w:p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a) Yazarın olaylara bakış açısının tespit edilmesi sağlanır.</w:t>
            </w:r>
          </w:p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b) Metindeki öznel ve nesnel yaklaşımların tespit edilmesi sağlanır.</w:t>
            </w:r>
          </w:p>
          <w:p w:rsidR="00DF11FD" w:rsidRPr="007977B3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c) Metindeki örnek ve ayrıntılara atıf yapılması sağlanır.</w:t>
            </w: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DF11FD" w:rsidRPr="007977B3" w:rsidTr="00DF11FD">
        <w:tc>
          <w:tcPr>
            <w:tcW w:w="4531" w:type="dxa"/>
          </w:tcPr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T.8.3.25. Okudukları ile ilgili çıkarımlarda bulunur.</w:t>
            </w:r>
          </w:p>
          <w:p w:rsidR="00DF11FD" w:rsidRPr="007977B3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Neden-sonuç, amaç-sonuç, koşul, karşılaştırma, benzetme, örneklendirme, abartma, nesnel, öznel ve duygu belirten ifadeler üzerinde durulur.</w:t>
            </w: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DF11FD" w:rsidRPr="007977B3" w:rsidTr="002A4B35">
        <w:trPr>
          <w:trHeight w:val="589"/>
        </w:trPr>
        <w:tc>
          <w:tcPr>
            <w:tcW w:w="4531" w:type="dxa"/>
          </w:tcPr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T.8.4.3. Hikâye edici metin yazar. a) Öğrencilerin anlatımın türü ve konus</w:t>
            </w:r>
            <w:r>
              <w:rPr>
                <w:sz w:val="20"/>
                <w:szCs w:val="20"/>
              </w:rPr>
              <w:t>una göre gerçekçi veya hayalî öğ</w:t>
            </w:r>
            <w:r w:rsidRPr="004D0B12">
              <w:rPr>
                <w:sz w:val="20"/>
                <w:szCs w:val="20"/>
              </w:rPr>
              <w:t>eleri tasarlamaları, uyumlu bir</w:t>
            </w:r>
            <w:r>
              <w:rPr>
                <w:sz w:val="20"/>
                <w:szCs w:val="20"/>
              </w:rPr>
              <w:t xml:space="preserve"> </w:t>
            </w:r>
            <w:r w:rsidRPr="004D0B12">
              <w:rPr>
                <w:sz w:val="20"/>
                <w:szCs w:val="20"/>
              </w:rPr>
              <w:t>zaman ve mekân kurgusu yapmaları, serim, düğüm ve çözüm bölümlerine yer vermeleri sağlanır.</w:t>
            </w:r>
          </w:p>
          <w:p w:rsidR="00DF11FD" w:rsidRPr="007977B3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b) Öğrenciler yazım kılavuzundan yaralanmaya, günlük hayattan örnekler vermeye yönlendirilir.</w:t>
            </w: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EC2932" w:rsidRPr="007977B3" w:rsidTr="002A4B35">
        <w:trPr>
          <w:trHeight w:val="589"/>
        </w:trPr>
        <w:tc>
          <w:tcPr>
            <w:tcW w:w="4531" w:type="dxa"/>
          </w:tcPr>
          <w:p w:rsidR="00EC2932" w:rsidRPr="00EC2932" w:rsidRDefault="004D0B12" w:rsidP="002A4B35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T.8.4.7. Yazılarını zenginleştirmek için atasözleri, deyimler ve özdeyişler kullanır.</w:t>
            </w:r>
          </w:p>
        </w:tc>
        <w:tc>
          <w:tcPr>
            <w:tcW w:w="4531" w:type="dxa"/>
          </w:tcPr>
          <w:p w:rsidR="00EC2932" w:rsidRPr="007977B3" w:rsidRDefault="00EC2932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66F5" w:rsidRPr="007977B3" w:rsidTr="002A4B35">
        <w:trPr>
          <w:trHeight w:val="589"/>
        </w:trPr>
        <w:tc>
          <w:tcPr>
            <w:tcW w:w="4531" w:type="dxa"/>
          </w:tcPr>
          <w:p w:rsidR="004D0B12" w:rsidRP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T.8.4.16. Yazdıklarını düzenler. a) Dil bilgisine dayalı anlatım bozuklukları bakımından yazdıklarını gözden geçirmesi ve düzeltm</w:t>
            </w:r>
            <w:r>
              <w:rPr>
                <w:sz w:val="20"/>
                <w:szCs w:val="20"/>
              </w:rPr>
              <w:t xml:space="preserve">esi </w:t>
            </w:r>
            <w:r w:rsidRPr="004D0B12">
              <w:rPr>
                <w:sz w:val="20"/>
                <w:szCs w:val="20"/>
              </w:rPr>
              <w:t>sağlanır.</w:t>
            </w:r>
          </w:p>
          <w:p w:rsidR="000666F5" w:rsidRPr="000666F5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b) Metinde yer alan yazım ve noktalama kuralları ile sınırlı tutulur.</w:t>
            </w:r>
          </w:p>
        </w:tc>
        <w:tc>
          <w:tcPr>
            <w:tcW w:w="4531" w:type="dxa"/>
          </w:tcPr>
          <w:p w:rsidR="000666F5" w:rsidRDefault="000666F5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0B12" w:rsidRPr="007977B3" w:rsidTr="002A4B35">
        <w:trPr>
          <w:trHeight w:val="589"/>
        </w:trPr>
        <w:tc>
          <w:tcPr>
            <w:tcW w:w="4531" w:type="dxa"/>
          </w:tcPr>
          <w:p w:rsidR="004D0B12" w:rsidRPr="004D0B12" w:rsidRDefault="004D0B12" w:rsidP="004D0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T.8.4.18. Cümlenin öğ</w:t>
            </w:r>
            <w:r w:rsidRPr="004D0B12">
              <w:rPr>
                <w:sz w:val="20"/>
                <w:szCs w:val="20"/>
              </w:rPr>
              <w:t>elerini ayırt eder.</w:t>
            </w:r>
          </w:p>
        </w:tc>
        <w:tc>
          <w:tcPr>
            <w:tcW w:w="4531" w:type="dxa"/>
          </w:tcPr>
          <w:p w:rsidR="004D0B12" w:rsidRDefault="004D0B12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0B12" w:rsidRPr="007977B3" w:rsidTr="002A4B35">
        <w:trPr>
          <w:trHeight w:val="589"/>
        </w:trPr>
        <w:tc>
          <w:tcPr>
            <w:tcW w:w="4531" w:type="dxa"/>
          </w:tcPr>
          <w:p w:rsidR="004D0B12" w:rsidRDefault="004D0B12" w:rsidP="004D0B12">
            <w:pPr>
              <w:rPr>
                <w:sz w:val="20"/>
                <w:szCs w:val="20"/>
              </w:rPr>
            </w:pPr>
            <w:r w:rsidRPr="004D0B12">
              <w:rPr>
                <w:sz w:val="20"/>
                <w:szCs w:val="20"/>
              </w:rPr>
              <w:t>T.8.4.19. Cümle türlerini tanır.</w:t>
            </w:r>
          </w:p>
        </w:tc>
        <w:tc>
          <w:tcPr>
            <w:tcW w:w="4531" w:type="dxa"/>
          </w:tcPr>
          <w:p w:rsidR="004D0B12" w:rsidRDefault="004D0B12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DF11FD" w:rsidRPr="007977B3" w:rsidRDefault="00DF11FD">
      <w:pPr>
        <w:rPr>
          <w:sz w:val="20"/>
          <w:szCs w:val="20"/>
        </w:rPr>
      </w:pPr>
    </w:p>
    <w:p w:rsidR="007977B3" w:rsidRDefault="00F33AFE" w:rsidP="007977B3">
      <w:pPr>
        <w:rPr>
          <w:sz w:val="20"/>
          <w:szCs w:val="20"/>
          <w:u w:val="single"/>
        </w:rPr>
      </w:pPr>
      <w:r w:rsidRPr="007977B3">
        <w:rPr>
          <w:sz w:val="20"/>
          <w:szCs w:val="20"/>
          <w:u w:val="single"/>
        </w:rPr>
        <w:t>*</w:t>
      </w:r>
      <w:r w:rsidR="000666F5">
        <w:rPr>
          <w:sz w:val="20"/>
          <w:szCs w:val="20"/>
          <w:u w:val="single"/>
        </w:rPr>
        <w:t>2</w:t>
      </w:r>
      <w:r w:rsidR="00AF061C" w:rsidRPr="007977B3">
        <w:rPr>
          <w:sz w:val="20"/>
          <w:szCs w:val="20"/>
          <w:u w:val="single"/>
        </w:rPr>
        <w:t>.dönem Türkçe</w:t>
      </w:r>
      <w:r w:rsidR="00E96491">
        <w:rPr>
          <w:sz w:val="20"/>
          <w:szCs w:val="20"/>
          <w:u w:val="single"/>
        </w:rPr>
        <w:t xml:space="preserve"> dersi 2</w:t>
      </w:r>
      <w:r w:rsidR="00673BDB">
        <w:rPr>
          <w:sz w:val="20"/>
          <w:szCs w:val="20"/>
          <w:u w:val="single"/>
        </w:rPr>
        <w:t>.</w:t>
      </w:r>
      <w:r w:rsidR="00AF061C" w:rsidRPr="007977B3">
        <w:rPr>
          <w:sz w:val="20"/>
          <w:szCs w:val="20"/>
          <w:u w:val="single"/>
        </w:rPr>
        <w:t xml:space="preserve"> sınavı konu dağılım tablosu,</w:t>
      </w:r>
      <w:r w:rsidR="000666F5">
        <w:rPr>
          <w:sz w:val="20"/>
          <w:szCs w:val="20"/>
          <w:u w:val="single"/>
        </w:rPr>
        <w:t xml:space="preserve"> </w:t>
      </w:r>
      <w:r w:rsidR="00AF061C" w:rsidRPr="007977B3">
        <w:rPr>
          <w:sz w:val="20"/>
          <w:szCs w:val="20"/>
          <w:u w:val="single"/>
        </w:rPr>
        <w:t xml:space="preserve">il genelinde belirlenen </w:t>
      </w:r>
      <w:r w:rsidR="00EC2932">
        <w:rPr>
          <w:sz w:val="20"/>
          <w:szCs w:val="20"/>
          <w:u w:val="single"/>
        </w:rPr>
        <w:t xml:space="preserve">senaryolardan </w:t>
      </w:r>
      <w:r w:rsidR="00E96491">
        <w:rPr>
          <w:sz w:val="20"/>
          <w:szCs w:val="20"/>
          <w:u w:val="single"/>
        </w:rPr>
        <w:t>7</w:t>
      </w:r>
      <w:r w:rsidR="00AF061C" w:rsidRPr="007977B3">
        <w:rPr>
          <w:sz w:val="20"/>
          <w:szCs w:val="20"/>
          <w:u w:val="single"/>
        </w:rPr>
        <w:t>.</w:t>
      </w:r>
      <w:r w:rsidR="005D7DA8">
        <w:rPr>
          <w:sz w:val="20"/>
          <w:szCs w:val="20"/>
          <w:u w:val="single"/>
        </w:rPr>
        <w:t xml:space="preserve"> </w:t>
      </w:r>
      <w:r w:rsidR="00AF061C" w:rsidRPr="007977B3">
        <w:rPr>
          <w:sz w:val="20"/>
          <w:szCs w:val="20"/>
          <w:u w:val="single"/>
        </w:rPr>
        <w:t>senaryo esas alınarak hazırlanmıştır.</w:t>
      </w:r>
    </w:p>
    <w:p w:rsidR="00AF061C" w:rsidRPr="007977B3" w:rsidRDefault="007977B3" w:rsidP="007977B3">
      <w:pPr>
        <w:ind w:left="3540"/>
        <w:rPr>
          <w:sz w:val="20"/>
          <w:szCs w:val="20"/>
          <w:u w:val="single"/>
        </w:rPr>
      </w:pPr>
      <w:r w:rsidRPr="007977B3">
        <w:rPr>
          <w:sz w:val="20"/>
          <w:szCs w:val="20"/>
          <w:u w:val="single"/>
        </w:rPr>
        <w:t>TÜRKÇE ZÜMRESİ</w:t>
      </w:r>
    </w:p>
    <w:p w:rsidR="00DF11FD" w:rsidRPr="00F33AFE" w:rsidRDefault="00DF11FD">
      <w:pPr>
        <w:rPr>
          <w:sz w:val="24"/>
          <w:szCs w:val="24"/>
        </w:rPr>
      </w:pPr>
    </w:p>
    <w:sectPr w:rsidR="00DF11FD" w:rsidRPr="00F33AFE" w:rsidSect="007977B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1FD"/>
    <w:rsid w:val="000666F5"/>
    <w:rsid w:val="0015688E"/>
    <w:rsid w:val="002A4B35"/>
    <w:rsid w:val="00396B67"/>
    <w:rsid w:val="004D0B12"/>
    <w:rsid w:val="005D7DA8"/>
    <w:rsid w:val="00673BDB"/>
    <w:rsid w:val="007977B3"/>
    <w:rsid w:val="009D60E3"/>
    <w:rsid w:val="00AF061C"/>
    <w:rsid w:val="00AF6CD5"/>
    <w:rsid w:val="00B801FB"/>
    <w:rsid w:val="00C02F70"/>
    <w:rsid w:val="00DF11FD"/>
    <w:rsid w:val="00E1618E"/>
    <w:rsid w:val="00E96491"/>
    <w:rsid w:val="00EC2932"/>
    <w:rsid w:val="00F2307F"/>
    <w:rsid w:val="00F33AFE"/>
    <w:rsid w:val="00F8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1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özalp</dc:creator>
  <cp:lastModifiedBy>PC</cp:lastModifiedBy>
  <cp:revision>3</cp:revision>
  <dcterms:created xsi:type="dcterms:W3CDTF">2024-05-18T22:48:00Z</dcterms:created>
  <dcterms:modified xsi:type="dcterms:W3CDTF">2025-05-15T18:04:00Z</dcterms:modified>
</cp:coreProperties>
</file>